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B8" w:rsidRDefault="00E30BB8"/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760A05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760A05" w:rsidRDefault="004B6438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760A0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760A05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760A0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760A05" w:rsidTr="00BA51DB">
        <w:trPr>
          <w:trHeight w:val="507"/>
        </w:trPr>
        <w:tc>
          <w:tcPr>
            <w:tcW w:w="1413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760A05" w:rsidRDefault="00366C62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11/07</w:t>
            </w:r>
            <w:r w:rsidR="00BA51DB"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559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proofErr w:type="spellStart"/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</w:t>
            </w:r>
            <w:proofErr w:type="spellEnd"/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 xml:space="preserve"> Tong</w:t>
            </w:r>
          </w:p>
        </w:tc>
        <w:tc>
          <w:tcPr>
            <w:tcW w:w="1701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760A05" w:rsidTr="00BA51DB">
        <w:trPr>
          <w:trHeight w:val="507"/>
        </w:trPr>
        <w:tc>
          <w:tcPr>
            <w:tcW w:w="1413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760A05" w:rsidRDefault="00BA51DB" w:rsidP="0020496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760A05" w:rsidRDefault="00B97E32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760A05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Purpose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_Toc13767841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Owners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_Toc13767842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General Principles of Assessment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_Toc13767843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2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IV.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Assessment Structure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_Toc13767844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20"/>
        <w:tabs>
          <w:tab w:val="left" w:pos="816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4.1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Operations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_Toc13767845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20"/>
        <w:tabs>
          <w:tab w:val="left" w:pos="816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4.2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Quality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_Toc13767846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3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20"/>
        <w:tabs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4.3 Bonus &amp; Penalty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_Toc13767847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4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V.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Application of Assessment Result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_Toc13767848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4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10"/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VI.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  <w:t>Attachments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_Toc13767849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5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C87105" w:rsidRPr="00760A05" w:rsidRDefault="00C87105" w:rsidP="0020496B">
      <w:pPr>
        <w:pStyle w:val="20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760A05">
        <w:rPr>
          <w:rFonts w:ascii="OPPOSans R" w:eastAsia="OPPOSans R" w:hAnsi="OPPOSans R" w:cstheme="minorHAnsi"/>
          <w:noProof/>
          <w:sz w:val="16"/>
          <w:szCs w:val="16"/>
        </w:rPr>
        <w:t>6.1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color w:val="0563C1" w:themeColor="hyperlink"/>
          <w:sz w:val="16"/>
          <w:szCs w:val="16"/>
          <w:u w:val="single"/>
        </w:rPr>
        <w:t>4.1-1 OPPO Regional Hub Assessment_Template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ab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instrText xml:space="preserve"> PAGEREF _Toc13767850 \h </w:instrTex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t>5</w:t>
      </w:r>
      <w:r w:rsidRPr="00760A05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560601" w:rsidRPr="00760A05" w:rsidRDefault="00C87105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bookmarkStart w:id="0" w:name="_GoBack"/>
      <w:bookmarkEnd w:id="0"/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760A05" w:rsidRDefault="00560601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B97E32" w:rsidRDefault="00B97E32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6C259E" w:rsidRPr="00760A05" w:rsidRDefault="006C259E" w:rsidP="0020496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490763" w:rsidRPr="006C259E" w:rsidRDefault="00912B20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" w:name="_Toc13767841"/>
      <w:r w:rsidRPr="006C259E">
        <w:rPr>
          <w:rFonts w:ascii="OPPOSans R" w:eastAsia="OPPOSans R" w:hAnsi="OPPOSans R" w:cstheme="minorHAnsi"/>
          <w:sz w:val="24"/>
          <w:szCs w:val="24"/>
        </w:rPr>
        <w:lastRenderedPageBreak/>
        <w:t>Purpose</w:t>
      </w:r>
      <w:bookmarkEnd w:id="1"/>
    </w:p>
    <w:p w:rsidR="00B97E32" w:rsidRPr="00760A05" w:rsidRDefault="00912B20" w:rsidP="0020496B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Assessment shall be performed for Contact Centers on a monthly basis to evaluate the performance level/quality of the team, which is one of the important measure for HQ to manage the performance of Contact Center vendors also.</w:t>
      </w:r>
    </w:p>
    <w:p w:rsidR="00D367D0" w:rsidRPr="00760A05" w:rsidRDefault="00D367D0" w:rsidP="0020496B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FC0444" w:rsidRPr="006C259E" w:rsidRDefault="00D367D0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2" w:name="_Toc13767842"/>
      <w:r w:rsidRPr="006C259E">
        <w:rPr>
          <w:rFonts w:ascii="OPPOSans R" w:eastAsia="OPPOSans R" w:hAnsi="OPPOSans R" w:cstheme="minorHAnsi"/>
          <w:sz w:val="24"/>
          <w:szCs w:val="24"/>
        </w:rPr>
        <w:t>Owners</w:t>
      </w:r>
      <w:bookmarkEnd w:id="2"/>
    </w:p>
    <w:p w:rsidR="00D232E1" w:rsidRPr="00760A05" w:rsidRDefault="00D367D0" w:rsidP="0020496B">
      <w:pPr>
        <w:pStyle w:val="a5"/>
        <w:numPr>
          <w:ilvl w:val="0"/>
          <w:numId w:val="24"/>
        </w:numPr>
        <w:spacing w:line="276" w:lineRule="auto"/>
        <w:ind w:left="851" w:firstLineChars="0" w:hanging="425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HQ is owning Assessment for APAC</w:t>
      </w:r>
      <w:r w:rsidR="00E30BB8">
        <w:rPr>
          <w:rFonts w:ascii="OPPOSans R" w:eastAsia="OPPOSans R" w:hAnsi="OPPOSans R" w:cstheme="minorHAnsi"/>
          <w:sz w:val="16"/>
          <w:szCs w:val="16"/>
        </w:rPr>
        <w:t xml:space="preserve"> regional hub</w:t>
      </w:r>
      <w:r w:rsidR="00E30BB8">
        <w:rPr>
          <w:rFonts w:ascii="OPPOSans R" w:eastAsia="OPPOSans R" w:hAnsi="OPPOSans R" w:cstheme="minorHAnsi" w:hint="eastAsia"/>
          <w:sz w:val="16"/>
          <w:szCs w:val="16"/>
        </w:rPr>
        <w:t>,</w:t>
      </w:r>
      <w:r w:rsidR="00E30BB8">
        <w:rPr>
          <w:rFonts w:ascii="OPPOSans R" w:eastAsia="OPPOSans R" w:hAnsi="OPPOSans R" w:cstheme="minorHAnsi"/>
          <w:sz w:val="16"/>
          <w:szCs w:val="16"/>
        </w:rPr>
        <w:t xml:space="preserve"> EMEA regional hub and other regional hubs in future.</w:t>
      </w:r>
    </w:p>
    <w:p w:rsidR="007E4561" w:rsidRPr="00760A05" w:rsidRDefault="00D367D0" w:rsidP="0020496B">
      <w:pPr>
        <w:pStyle w:val="a5"/>
        <w:numPr>
          <w:ilvl w:val="0"/>
          <w:numId w:val="24"/>
        </w:numPr>
        <w:spacing w:line="276" w:lineRule="auto"/>
        <w:ind w:left="851" w:firstLineChars="0" w:hanging="425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Local Office is responsible for Assessment of each local Contact Center Team.</w:t>
      </w:r>
    </w:p>
    <w:p w:rsidR="008B2580" w:rsidRPr="00760A05" w:rsidRDefault="008B2580" w:rsidP="0020496B">
      <w:pPr>
        <w:pStyle w:val="a5"/>
        <w:spacing w:line="276" w:lineRule="auto"/>
        <w:ind w:left="851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B029EF" w:rsidRPr="006C259E" w:rsidRDefault="009362AA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3" w:name="_Toc13767843"/>
      <w:r w:rsidRPr="006C259E">
        <w:rPr>
          <w:rFonts w:ascii="OPPOSans R" w:eastAsia="OPPOSans R" w:hAnsi="OPPOSans R" w:cstheme="minorHAnsi"/>
          <w:sz w:val="24"/>
          <w:szCs w:val="24"/>
        </w:rPr>
        <w:t>General Principles of Assessment</w:t>
      </w:r>
      <w:bookmarkEnd w:id="3"/>
    </w:p>
    <w:p w:rsidR="003F407B" w:rsidRPr="00760A05" w:rsidRDefault="009362AA" w:rsidP="0020496B">
      <w:pPr>
        <w:pStyle w:val="a5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All service channels of the site shall be covered in the Assessment metrics</w:t>
      </w:r>
      <w:r w:rsidR="003F407B" w:rsidRPr="00760A05">
        <w:rPr>
          <w:rFonts w:ascii="OPPOSans R" w:eastAsia="OPPOSans R" w:hAnsi="OPPOSans R" w:cstheme="minorHAnsi"/>
          <w:sz w:val="16"/>
          <w:szCs w:val="16"/>
        </w:rPr>
        <w:t xml:space="preserve">,    </w:t>
      </w:r>
    </w:p>
    <w:p w:rsidR="00471F3D" w:rsidRPr="00760A05" w:rsidRDefault="003F407B" w:rsidP="0020496B">
      <w:pPr>
        <w:pStyle w:val="a5"/>
        <w:spacing w:line="276" w:lineRule="auto"/>
        <w:ind w:left="425" w:firstLineChars="177" w:firstLine="283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760A05">
        <w:rPr>
          <w:rFonts w:ascii="OPPOSans R" w:eastAsia="OPPOSans R" w:hAnsi="OPPOSans R" w:cstheme="minorHAnsi"/>
          <w:sz w:val="16"/>
          <w:szCs w:val="16"/>
        </w:rPr>
        <w:t>like</w:t>
      </w:r>
      <w:proofErr w:type="gramEnd"/>
      <w:r w:rsidRPr="00760A05">
        <w:rPr>
          <w:rFonts w:ascii="OPPOSans R" w:eastAsia="OPPOSans R" w:hAnsi="OPPOSans R" w:cstheme="minorHAnsi"/>
          <w:sz w:val="16"/>
          <w:szCs w:val="16"/>
        </w:rPr>
        <w:t xml:space="preserve"> inbound, outbound survey, Email, Chat and other social media channels.</w:t>
      </w:r>
    </w:p>
    <w:p w:rsidR="004D16B4" w:rsidRPr="00760A05" w:rsidRDefault="003F407B" w:rsidP="0020496B">
      <w:pPr>
        <w:pStyle w:val="a5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 xml:space="preserve">Should there be more than 1 region covered in the site, KPI metrics shall </w:t>
      </w:r>
      <w:r w:rsidR="004D16B4" w:rsidRPr="00760A05">
        <w:rPr>
          <w:rFonts w:ascii="OPPOSans R" w:eastAsia="OPPOSans R" w:hAnsi="OPPOSans R" w:cstheme="minorHAnsi"/>
          <w:sz w:val="16"/>
          <w:szCs w:val="16"/>
        </w:rPr>
        <w:t xml:space="preserve">vary     </w:t>
      </w:r>
    </w:p>
    <w:p w:rsidR="00B92EA6" w:rsidRPr="00760A05" w:rsidRDefault="004D16B4" w:rsidP="0020496B">
      <w:pPr>
        <w:pStyle w:val="a5"/>
        <w:spacing w:line="276" w:lineRule="auto"/>
        <w:ind w:left="425" w:firstLineChars="177" w:firstLine="283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760A05">
        <w:rPr>
          <w:rFonts w:ascii="OPPOSans R" w:eastAsia="OPPOSans R" w:hAnsi="OPPOSans R" w:cstheme="minorHAnsi"/>
          <w:sz w:val="16"/>
          <w:szCs w:val="16"/>
        </w:rPr>
        <w:t>among</w:t>
      </w:r>
      <w:proofErr w:type="gramEnd"/>
      <w:r w:rsidRPr="00760A05">
        <w:rPr>
          <w:rFonts w:ascii="OPPOSans R" w:eastAsia="OPPOSans R" w:hAnsi="OPPOSans R" w:cstheme="minorHAnsi"/>
          <w:sz w:val="16"/>
          <w:szCs w:val="16"/>
        </w:rPr>
        <w:t xml:space="preserve"> regions</w:t>
      </w:r>
      <w:r w:rsidR="003F407B" w:rsidRPr="00760A05">
        <w:rPr>
          <w:rFonts w:ascii="OPPOSans R" w:eastAsia="OPPOSans R" w:hAnsi="OPPOSans R" w:cstheme="minorHAnsi"/>
          <w:sz w:val="16"/>
          <w:szCs w:val="16"/>
        </w:rPr>
        <w:t xml:space="preserve"> as per the current performance level of each.</w:t>
      </w:r>
    </w:p>
    <w:p w:rsidR="00B92EA6" w:rsidRPr="00760A05" w:rsidRDefault="00B92EA6" w:rsidP="0020496B">
      <w:pPr>
        <w:pStyle w:val="a5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 xml:space="preserve">Assessment is not set once for all, which should be reviewed and revised,      </w:t>
      </w:r>
    </w:p>
    <w:p w:rsidR="00B92EA6" w:rsidRPr="00760A05" w:rsidRDefault="00B92EA6" w:rsidP="0020496B">
      <w:pPr>
        <w:pStyle w:val="a5"/>
        <w:spacing w:line="276" w:lineRule="auto"/>
        <w:ind w:left="425" w:firstLineChars="177" w:firstLine="283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760A05">
        <w:rPr>
          <w:rFonts w:ascii="OPPOSans R" w:eastAsia="OPPOSans R" w:hAnsi="OPPOSans R" w:cstheme="minorHAnsi"/>
          <w:sz w:val="16"/>
          <w:szCs w:val="16"/>
        </w:rPr>
        <w:t>when</w:t>
      </w:r>
      <w:proofErr w:type="gramEnd"/>
      <w:r w:rsidRPr="00760A05">
        <w:rPr>
          <w:rFonts w:ascii="OPPOSans R" w:eastAsia="OPPOSans R" w:hAnsi="OPPOSans R" w:cstheme="minorHAnsi"/>
          <w:sz w:val="16"/>
          <w:szCs w:val="16"/>
        </w:rPr>
        <w:t xml:space="preserve"> necessary,  at least every half a year to meet the operation level of the </w:t>
      </w:r>
    </w:p>
    <w:p w:rsidR="009362AA" w:rsidRPr="00760A05" w:rsidRDefault="00B92EA6" w:rsidP="0020496B">
      <w:pPr>
        <w:pStyle w:val="a5"/>
        <w:spacing w:line="276" w:lineRule="auto"/>
        <w:ind w:left="425" w:firstLineChars="177" w:firstLine="283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760A05">
        <w:rPr>
          <w:rFonts w:ascii="OPPOSans R" w:eastAsia="OPPOSans R" w:hAnsi="OPPOSans R" w:cstheme="minorHAnsi"/>
          <w:sz w:val="16"/>
          <w:szCs w:val="16"/>
        </w:rPr>
        <w:t>site</w:t>
      </w:r>
      <w:proofErr w:type="gramEnd"/>
      <w:r w:rsidRPr="00760A05">
        <w:rPr>
          <w:rFonts w:ascii="OPPOSans R" w:eastAsia="OPPOSans R" w:hAnsi="OPPOSans R" w:cstheme="minorHAnsi"/>
          <w:sz w:val="16"/>
          <w:szCs w:val="16"/>
        </w:rPr>
        <w:t>.</w:t>
      </w:r>
    </w:p>
    <w:p w:rsidR="008B2580" w:rsidRPr="00760A05" w:rsidRDefault="008B2580" w:rsidP="0020496B">
      <w:pPr>
        <w:pStyle w:val="a5"/>
        <w:spacing w:line="276" w:lineRule="auto"/>
        <w:ind w:left="425" w:firstLineChars="177" w:firstLine="283"/>
        <w:rPr>
          <w:rFonts w:ascii="OPPOSans R" w:eastAsia="OPPOSans R" w:hAnsi="OPPOSans R" w:cstheme="minorHAnsi"/>
          <w:sz w:val="16"/>
          <w:szCs w:val="16"/>
        </w:rPr>
      </w:pPr>
    </w:p>
    <w:p w:rsidR="00471F3D" w:rsidRPr="006C259E" w:rsidRDefault="005D71FB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4" w:name="_Toc13767844"/>
      <w:r w:rsidRPr="006C259E">
        <w:rPr>
          <w:rFonts w:ascii="OPPOSans R" w:eastAsia="OPPOSans R" w:hAnsi="OPPOSans R" w:cstheme="minorHAnsi"/>
          <w:sz w:val="24"/>
          <w:szCs w:val="24"/>
        </w:rPr>
        <w:t>Assessment Structure</w:t>
      </w:r>
      <w:bookmarkEnd w:id="4"/>
    </w:p>
    <w:p w:rsidR="00771845" w:rsidRPr="00760A05" w:rsidRDefault="00771845" w:rsidP="0020496B">
      <w:pPr>
        <w:spacing w:line="276" w:lineRule="auto"/>
        <w:ind w:firstLineChars="150" w:firstLine="24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Assessment</w:t>
      </w:r>
      <w:r w:rsidR="006C2B2B" w:rsidRPr="00760A05">
        <w:rPr>
          <w:rFonts w:ascii="OPPOSans R" w:eastAsia="OPPOSans R" w:hAnsi="OPPOSans R" w:cstheme="minorHAnsi"/>
          <w:sz w:val="16"/>
          <w:szCs w:val="16"/>
        </w:rPr>
        <w:t xml:space="preserve">, with overall weight of 100, </w:t>
      </w:r>
      <w:r w:rsidRPr="00760A05">
        <w:rPr>
          <w:rFonts w:ascii="OPPOSans R" w:eastAsia="OPPOSans R" w:hAnsi="OPPOSans R" w:cstheme="minorHAnsi"/>
          <w:sz w:val="16"/>
          <w:szCs w:val="16"/>
        </w:rPr>
        <w:t>is mainly divided into two main parts:</w:t>
      </w:r>
    </w:p>
    <w:p w:rsidR="00771845" w:rsidRPr="00760A05" w:rsidRDefault="00771845" w:rsidP="0020496B">
      <w:pPr>
        <w:pStyle w:val="a5"/>
        <w:numPr>
          <w:ilvl w:val="0"/>
          <w:numId w:val="28"/>
        </w:numPr>
        <w:spacing w:line="276" w:lineRule="auto"/>
        <w:ind w:firstLineChars="0" w:firstLine="6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lastRenderedPageBreak/>
        <w:t>Operations: 65%</w:t>
      </w:r>
    </w:p>
    <w:p w:rsidR="00771845" w:rsidRPr="00760A05" w:rsidRDefault="00771845" w:rsidP="0020496B">
      <w:pPr>
        <w:pStyle w:val="a5"/>
        <w:numPr>
          <w:ilvl w:val="0"/>
          <w:numId w:val="28"/>
        </w:numPr>
        <w:spacing w:line="276" w:lineRule="auto"/>
        <w:ind w:firstLineChars="0" w:firstLine="6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Quality: 35%</w:t>
      </w:r>
    </w:p>
    <w:p w:rsidR="00A31240" w:rsidRPr="00760A05" w:rsidRDefault="00A31240" w:rsidP="0020496B">
      <w:pPr>
        <w:pStyle w:val="a5"/>
        <w:numPr>
          <w:ilvl w:val="0"/>
          <w:numId w:val="28"/>
        </w:numPr>
        <w:spacing w:line="276" w:lineRule="auto"/>
        <w:ind w:firstLineChars="0" w:firstLine="6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Bonus &amp; Penalty</w:t>
      </w:r>
      <w:r w:rsidR="00A96614" w:rsidRPr="00760A05">
        <w:rPr>
          <w:rFonts w:ascii="OPPOSans R" w:eastAsia="OPPOSans R" w:hAnsi="OPPOSans R" w:cstheme="minorHAnsi"/>
          <w:sz w:val="16"/>
          <w:szCs w:val="16"/>
        </w:rPr>
        <w:t xml:space="preserve"> (5%)</w:t>
      </w:r>
    </w:p>
    <w:p w:rsidR="0024133B" w:rsidRPr="007F033B" w:rsidRDefault="00771845" w:rsidP="0020496B">
      <w:pPr>
        <w:pStyle w:val="2"/>
        <w:numPr>
          <w:ilvl w:val="0"/>
          <w:numId w:val="11"/>
        </w:numPr>
        <w:spacing w:line="276" w:lineRule="auto"/>
        <w:ind w:firstLine="6"/>
        <w:rPr>
          <w:rFonts w:ascii="OPPOSans R" w:eastAsia="OPPOSans R" w:hAnsi="OPPOSans R" w:cstheme="minorHAnsi"/>
          <w:sz w:val="20"/>
          <w:szCs w:val="20"/>
        </w:rPr>
      </w:pPr>
      <w:bookmarkStart w:id="5" w:name="_Toc13767845"/>
      <w:r w:rsidRPr="007F033B">
        <w:rPr>
          <w:rFonts w:ascii="OPPOSans R" w:eastAsia="OPPOSans R" w:hAnsi="OPPOSans R" w:cstheme="minorHAnsi"/>
          <w:sz w:val="20"/>
          <w:szCs w:val="20"/>
        </w:rPr>
        <w:t>Operations</w:t>
      </w:r>
      <w:bookmarkEnd w:id="5"/>
      <w:r w:rsidRPr="007F033B">
        <w:rPr>
          <w:rFonts w:ascii="OPPOSans R" w:eastAsia="OPPOSans R" w:hAnsi="OPPOSans R" w:cstheme="minorHAnsi"/>
          <w:sz w:val="20"/>
          <w:szCs w:val="20"/>
        </w:rPr>
        <w:t xml:space="preserve"> </w:t>
      </w:r>
    </w:p>
    <w:p w:rsidR="00771845" w:rsidRPr="00760A05" w:rsidRDefault="00A31240" w:rsidP="0020496B">
      <w:pPr>
        <w:spacing w:line="276" w:lineRule="auto"/>
        <w:ind w:left="4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There are many KPI metrics to evaluate Contact Center performance as below:</w:t>
      </w:r>
    </w:p>
    <w:p w:rsidR="00A31240" w:rsidRPr="00760A05" w:rsidRDefault="00A31240" w:rsidP="0020496B">
      <w:pPr>
        <w:spacing w:line="276" w:lineRule="auto"/>
        <w:ind w:left="420"/>
        <w:rPr>
          <w:rFonts w:ascii="OPPOSans R" w:eastAsia="OPPOSans R" w:hAnsi="OPPOSans R" w:cstheme="minorHAnsi"/>
          <w:sz w:val="16"/>
          <w:szCs w:val="16"/>
        </w:rPr>
      </w:pPr>
    </w:p>
    <w:tbl>
      <w:tblPr>
        <w:tblW w:w="8744" w:type="dxa"/>
        <w:tblLook w:val="04A0" w:firstRow="1" w:lastRow="0" w:firstColumn="1" w:lastColumn="0" w:noHBand="0" w:noVBand="1"/>
      </w:tblPr>
      <w:tblGrid>
        <w:gridCol w:w="2405"/>
        <w:gridCol w:w="1701"/>
        <w:gridCol w:w="4638"/>
      </w:tblGrid>
      <w:tr w:rsidR="00A31240" w:rsidRPr="00760A05" w:rsidTr="00A31240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KPI metrics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Reference target</w:t>
            </w:r>
          </w:p>
        </w:tc>
        <w:tc>
          <w:tcPr>
            <w:tcW w:w="4638" w:type="dxa"/>
            <w:tcBorders>
              <w:top w:val="single" w:sz="4" w:space="0" w:color="auto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Formulas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ANS%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92%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Call answered/Call offered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SVL%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90%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Call answered in 20s/Call offered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FCR%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88%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Amount of Yes/Total valid sample amount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CSAT%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88%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Amount of 5/Total valid sample amount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Successful Survey Rate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40%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Total valid sample amount/IB answer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AHT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420s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dashed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AHT=ATT+ Hold Time + ACW</w:t>
            </w:r>
          </w:p>
        </w:tc>
      </w:tr>
      <w:tr w:rsidR="00A31240" w:rsidRPr="00760A05" w:rsidTr="00A31240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BFBFBF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Email TAT 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center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96%</w:t>
            </w:r>
          </w:p>
        </w:tc>
        <w:tc>
          <w:tcPr>
            <w:tcW w:w="4638" w:type="dxa"/>
            <w:tcBorders>
              <w:top w:val="nil"/>
              <w:left w:val="dashed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240" w:rsidRPr="00760A05" w:rsidRDefault="00A31240" w:rsidP="0020496B">
            <w:pPr>
              <w:widowControl/>
              <w:spacing w:line="276" w:lineRule="auto"/>
              <w:jc w:val="left"/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</w:pPr>
            <w:r w:rsidRPr="00760A05">
              <w:rPr>
                <w:rFonts w:ascii="OPPOSans R" w:eastAsia="OPPOSans R" w:hAnsi="OPPOSans R" w:cstheme="minorHAnsi"/>
                <w:color w:val="000000"/>
                <w:kern w:val="0"/>
                <w:sz w:val="16"/>
                <w:szCs w:val="16"/>
              </w:rPr>
              <w:t>Email answered in 16 clock hours/Total Email offered</w:t>
            </w:r>
          </w:p>
        </w:tc>
      </w:tr>
    </w:tbl>
    <w:p w:rsidR="00A31240" w:rsidRPr="00760A05" w:rsidRDefault="00A31240" w:rsidP="0020496B">
      <w:pPr>
        <w:spacing w:line="276" w:lineRule="auto"/>
        <w:ind w:left="420"/>
        <w:rPr>
          <w:rFonts w:ascii="OPPOSans R" w:eastAsia="OPPOSans R" w:hAnsi="OPPOSans R" w:cstheme="minorHAnsi"/>
          <w:sz w:val="16"/>
          <w:szCs w:val="16"/>
        </w:rPr>
      </w:pPr>
    </w:p>
    <w:p w:rsidR="009345BC" w:rsidRDefault="00A31240" w:rsidP="0020496B">
      <w:pPr>
        <w:spacing w:line="276" w:lineRule="auto"/>
        <w:ind w:left="4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3-5 KPI metrics can be selected as metrics for Operations.</w:t>
      </w:r>
    </w:p>
    <w:p w:rsidR="00EB79CD" w:rsidRPr="00760A05" w:rsidRDefault="00EB79CD" w:rsidP="0020496B">
      <w:pPr>
        <w:spacing w:line="276" w:lineRule="auto"/>
        <w:ind w:left="420"/>
        <w:rPr>
          <w:rFonts w:ascii="OPPOSans R" w:eastAsia="OPPOSans R" w:hAnsi="OPPOSans R" w:cstheme="minorHAnsi"/>
          <w:sz w:val="16"/>
          <w:szCs w:val="16"/>
        </w:rPr>
      </w:pPr>
    </w:p>
    <w:p w:rsidR="000735B8" w:rsidRPr="00EB79CD" w:rsidRDefault="00771845" w:rsidP="0020496B">
      <w:pPr>
        <w:pStyle w:val="2"/>
        <w:numPr>
          <w:ilvl w:val="0"/>
          <w:numId w:val="27"/>
        </w:numPr>
        <w:spacing w:line="276" w:lineRule="auto"/>
        <w:ind w:firstLine="6"/>
        <w:rPr>
          <w:rFonts w:ascii="OPPOSans R" w:eastAsia="OPPOSans R" w:hAnsi="OPPOSans R" w:cstheme="minorHAnsi"/>
          <w:sz w:val="20"/>
          <w:szCs w:val="20"/>
        </w:rPr>
      </w:pPr>
      <w:bookmarkStart w:id="6" w:name="_Toc13767846"/>
      <w:r w:rsidRPr="00EB79CD">
        <w:rPr>
          <w:rFonts w:ascii="OPPOSans R" w:eastAsia="OPPOSans R" w:hAnsi="OPPOSans R" w:cstheme="minorHAnsi"/>
          <w:sz w:val="20"/>
          <w:szCs w:val="20"/>
        </w:rPr>
        <w:t>Quality</w:t>
      </w:r>
      <w:bookmarkEnd w:id="6"/>
    </w:p>
    <w:p w:rsidR="000735B8" w:rsidRDefault="000735B8" w:rsidP="0020496B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QA scores of all service channels, Spot Check result, appeals from other teams etc. can all be included into Quality metrics</w:t>
      </w:r>
      <w:r w:rsidR="00BB02AE" w:rsidRPr="00760A05">
        <w:rPr>
          <w:rFonts w:ascii="OPPOSans R" w:eastAsia="OPPOSans R" w:hAnsi="OPPOSans R" w:cstheme="minorHAnsi"/>
          <w:sz w:val="16"/>
          <w:szCs w:val="16"/>
        </w:rPr>
        <w:t xml:space="preserve"> to evaluate the operation quality of the team.</w:t>
      </w:r>
    </w:p>
    <w:p w:rsidR="00EB79CD" w:rsidRPr="00760A05" w:rsidRDefault="00EB79CD" w:rsidP="0020496B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BB02AE" w:rsidRPr="00EB79CD" w:rsidRDefault="00BB02AE" w:rsidP="0020496B">
      <w:pPr>
        <w:pStyle w:val="2"/>
        <w:spacing w:line="276" w:lineRule="auto"/>
        <w:ind w:left="426"/>
        <w:rPr>
          <w:rFonts w:ascii="OPPOSans R" w:eastAsia="OPPOSans R" w:hAnsi="OPPOSans R" w:cstheme="minorHAnsi"/>
          <w:sz w:val="20"/>
          <w:szCs w:val="20"/>
        </w:rPr>
      </w:pPr>
      <w:bookmarkStart w:id="7" w:name="_Toc13767847"/>
      <w:r w:rsidRPr="00EB79CD">
        <w:rPr>
          <w:rFonts w:ascii="OPPOSans R" w:eastAsia="OPPOSans R" w:hAnsi="OPPOSans R" w:cstheme="minorHAnsi"/>
          <w:sz w:val="20"/>
          <w:szCs w:val="20"/>
        </w:rPr>
        <w:t>4.3</w:t>
      </w:r>
      <w:r w:rsidR="00B22DA5" w:rsidRPr="00EB79CD">
        <w:rPr>
          <w:rFonts w:ascii="OPPOSans R" w:eastAsia="OPPOSans R" w:hAnsi="OPPOSans R" w:cstheme="minorHAnsi"/>
          <w:sz w:val="20"/>
          <w:szCs w:val="20"/>
        </w:rPr>
        <w:t xml:space="preserve"> Bonus &amp; Penalty</w:t>
      </w:r>
      <w:bookmarkEnd w:id="7"/>
    </w:p>
    <w:p w:rsidR="00B22DA5" w:rsidRDefault="00B22DA5" w:rsidP="0020496B">
      <w:pPr>
        <w:spacing w:line="276" w:lineRule="auto"/>
        <w:ind w:leftChars="100" w:left="210" w:firstLineChars="150" w:firstLine="24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There can be bonus &amp; penalty</w:t>
      </w:r>
      <w:r w:rsidR="00F4308B" w:rsidRPr="00760A05">
        <w:rPr>
          <w:rFonts w:ascii="OPPOSans R" w:eastAsia="OPPOSans R" w:hAnsi="OPPOSans R" w:cstheme="minorHAnsi"/>
          <w:sz w:val="16"/>
          <w:szCs w:val="16"/>
        </w:rPr>
        <w:t xml:space="preserve"> for the team as incentives.</w:t>
      </w:r>
    </w:p>
    <w:p w:rsidR="00EB79CD" w:rsidRPr="00760A05" w:rsidRDefault="00EB79CD" w:rsidP="0020496B">
      <w:pPr>
        <w:spacing w:line="276" w:lineRule="auto"/>
        <w:ind w:leftChars="100" w:left="210" w:firstLineChars="150" w:firstLine="240"/>
        <w:rPr>
          <w:rFonts w:ascii="OPPOSans R" w:eastAsia="OPPOSans R" w:hAnsi="OPPOSans R" w:cstheme="minorHAnsi"/>
          <w:sz w:val="16"/>
          <w:szCs w:val="16"/>
        </w:rPr>
      </w:pPr>
    </w:p>
    <w:p w:rsidR="00F4308B" w:rsidRPr="0011448D" w:rsidRDefault="00F4308B" w:rsidP="0020496B">
      <w:pPr>
        <w:spacing w:line="276" w:lineRule="auto"/>
        <w:ind w:leftChars="100" w:left="210" w:firstLineChars="150" w:firstLine="240"/>
        <w:rPr>
          <w:rFonts w:ascii="OPPOSans R" w:eastAsia="OPPOSans R" w:hAnsi="OPPOSans R" w:cstheme="minorHAnsi"/>
          <w:bCs/>
          <w:sz w:val="16"/>
          <w:szCs w:val="16"/>
        </w:rPr>
      </w:pPr>
      <w:r w:rsidRPr="0011448D">
        <w:rPr>
          <w:rFonts w:ascii="OPPOSans R" w:eastAsia="OPPOSans R" w:hAnsi="OPPOSans R" w:cstheme="minorHAnsi"/>
          <w:bCs/>
          <w:sz w:val="16"/>
          <w:szCs w:val="16"/>
        </w:rPr>
        <w:lastRenderedPageBreak/>
        <w:t xml:space="preserve">4.3.1 Bonus: </w:t>
      </w:r>
    </w:p>
    <w:p w:rsidR="00F4308B" w:rsidRPr="00760A05" w:rsidRDefault="00F4308B" w:rsidP="0020496B">
      <w:pPr>
        <w:pStyle w:val="a5"/>
        <w:numPr>
          <w:ilvl w:val="0"/>
          <w:numId w:val="29"/>
        </w:numPr>
        <w:spacing w:line="276" w:lineRule="auto"/>
        <w:ind w:firstLineChars="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Compliments received from customers for good service attitude, being professional etc.</w:t>
      </w:r>
    </w:p>
    <w:p w:rsidR="00F4308B" w:rsidRPr="00760A05" w:rsidRDefault="00F4308B" w:rsidP="0020496B">
      <w:pPr>
        <w:pStyle w:val="a5"/>
        <w:numPr>
          <w:ilvl w:val="0"/>
          <w:numId w:val="29"/>
        </w:numPr>
        <w:spacing w:line="276" w:lineRule="auto"/>
        <w:ind w:firstLineChars="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Suggestions collected and submitted to HQ, which are properly taken for future improvement</w:t>
      </w:r>
    </w:p>
    <w:p w:rsidR="00E250BD" w:rsidRDefault="00F4308B" w:rsidP="0020496B">
      <w:pPr>
        <w:pStyle w:val="a5"/>
        <w:numPr>
          <w:ilvl w:val="0"/>
          <w:numId w:val="29"/>
        </w:numPr>
        <w:spacing w:line="276" w:lineRule="auto"/>
        <w:ind w:firstLineChars="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Valid Quality Feedback submitted to HQ which helps us improve</w:t>
      </w:r>
      <w:r w:rsidR="00C170A8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090E6B" w:rsidRPr="00C170A8">
        <w:rPr>
          <w:rFonts w:ascii="OPPOSans R" w:eastAsia="OPPOSans R" w:hAnsi="OPPOSans R" w:cstheme="minorHAnsi"/>
          <w:sz w:val="16"/>
          <w:szCs w:val="16"/>
        </w:rPr>
        <w:t>Structure of RV Report</w:t>
      </w:r>
    </w:p>
    <w:p w:rsidR="00C170A8" w:rsidRPr="00C170A8" w:rsidRDefault="00C170A8" w:rsidP="0020496B">
      <w:pPr>
        <w:pStyle w:val="a5"/>
        <w:numPr>
          <w:ilvl w:val="0"/>
          <w:numId w:val="29"/>
        </w:numPr>
        <w:spacing w:line="276" w:lineRule="auto"/>
        <w:ind w:firstLineChars="0"/>
        <w:rPr>
          <w:rFonts w:ascii="OPPOSans R" w:eastAsia="OPPOSans R" w:hAnsi="OPPOSans R" w:cstheme="minorHAnsi"/>
          <w:sz w:val="16"/>
          <w:szCs w:val="16"/>
        </w:rPr>
      </w:pPr>
    </w:p>
    <w:p w:rsidR="004D6459" w:rsidRPr="0011448D" w:rsidRDefault="00BE0244" w:rsidP="0020496B">
      <w:pPr>
        <w:spacing w:line="276" w:lineRule="auto"/>
        <w:ind w:firstLineChars="250" w:firstLine="400"/>
        <w:rPr>
          <w:rFonts w:ascii="OPPOSans R" w:eastAsia="OPPOSans R" w:hAnsi="OPPOSans R" w:cstheme="minorHAnsi"/>
          <w:bCs/>
          <w:sz w:val="16"/>
          <w:szCs w:val="16"/>
        </w:rPr>
      </w:pPr>
      <w:r w:rsidRPr="0011448D">
        <w:rPr>
          <w:rFonts w:ascii="OPPOSans R" w:eastAsia="OPPOSans R" w:hAnsi="OPPOSans R" w:cstheme="minorHAnsi"/>
          <w:bCs/>
          <w:sz w:val="16"/>
          <w:szCs w:val="16"/>
        </w:rPr>
        <w:t>4.3.2 Penalty</w:t>
      </w:r>
    </w:p>
    <w:p w:rsidR="00BE0244" w:rsidRPr="00760A05" w:rsidRDefault="00BE0244" w:rsidP="0020496B">
      <w:pPr>
        <w:spacing w:line="276" w:lineRule="auto"/>
        <w:ind w:leftChars="300" w:left="63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Complaint is a major metrics for penalty, which mainly refer to complaint cases incurred by poor Contact Center service.</w:t>
      </w:r>
    </w:p>
    <w:p w:rsidR="00EA7367" w:rsidRPr="00760A05" w:rsidRDefault="00EA7367" w:rsidP="0020496B">
      <w:pPr>
        <w:spacing w:line="276" w:lineRule="auto"/>
        <w:ind w:leftChars="300" w:left="630"/>
        <w:rPr>
          <w:rFonts w:ascii="OPPOSans R" w:eastAsia="OPPOSans R" w:hAnsi="OPPOSans R" w:cstheme="minorHAnsi"/>
          <w:sz w:val="16"/>
          <w:szCs w:val="16"/>
        </w:rPr>
      </w:pPr>
    </w:p>
    <w:p w:rsidR="00EA7367" w:rsidRPr="00C170A8" w:rsidRDefault="00EA7367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8" w:name="_Toc13767848"/>
      <w:r w:rsidRPr="00C170A8">
        <w:rPr>
          <w:rFonts w:ascii="OPPOSans R" w:eastAsia="OPPOSans R" w:hAnsi="OPPOSans R" w:cstheme="minorHAnsi"/>
          <w:sz w:val="24"/>
          <w:szCs w:val="24"/>
        </w:rPr>
        <w:t>Application of Assessment Result</w:t>
      </w:r>
      <w:bookmarkEnd w:id="8"/>
    </w:p>
    <w:p w:rsidR="005E24A4" w:rsidRPr="00760A05" w:rsidRDefault="005E24A4" w:rsidP="0020496B">
      <w:pPr>
        <w:pStyle w:val="a5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For regional hubs, penalty</w:t>
      </w:r>
      <w:r w:rsidR="00DA564B" w:rsidRPr="00760A05">
        <w:rPr>
          <w:rFonts w:ascii="OPPOSans R" w:eastAsia="OPPOSans R" w:hAnsi="OPPOSans R" w:cstheme="minorHAnsi"/>
          <w:sz w:val="16"/>
          <w:szCs w:val="16"/>
        </w:rPr>
        <w:t>/prize</w:t>
      </w:r>
      <w:r w:rsidRPr="00760A05">
        <w:rPr>
          <w:rFonts w:ascii="OPPOSans R" w:eastAsia="OPPOSans R" w:hAnsi="OPPOSans R" w:cstheme="minorHAnsi"/>
          <w:sz w:val="16"/>
          <w:szCs w:val="16"/>
        </w:rPr>
        <w:t xml:space="preserve"> will be applied in the monthly billing of the site when the site fails in the Assessment, as per standard below: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X&lt;80%</w:t>
      </w:r>
      <w:proofErr w:type="gramStart"/>
      <w:r w:rsidRPr="00760A05">
        <w:rPr>
          <w:rFonts w:ascii="OPPOSans R" w:eastAsia="OPPOSans R" w:hAnsi="OPPOSans R" w:cstheme="minorHAnsi"/>
          <w:sz w:val="16"/>
          <w:szCs w:val="16"/>
        </w:rPr>
        <w:t>,10</w:t>
      </w:r>
      <w:proofErr w:type="gramEnd"/>
      <w:r w:rsidRPr="00760A05">
        <w:rPr>
          <w:rFonts w:ascii="OPPOSans R" w:eastAsia="OPPOSans R" w:hAnsi="OPPOSans R" w:cstheme="minorHAnsi"/>
          <w:sz w:val="16"/>
          <w:szCs w:val="16"/>
        </w:rPr>
        <w:t>% penalty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80%</w:t>
      </w:r>
      <w:r w:rsidRPr="00760A05">
        <w:rPr>
          <w:rFonts w:ascii="宋体" w:eastAsia="宋体" w:hAnsi="宋体" w:cs="宋体" w:hint="eastAsia"/>
          <w:sz w:val="16"/>
          <w:szCs w:val="16"/>
        </w:rPr>
        <w:t>≤</w:t>
      </w:r>
      <w:r w:rsidRPr="00760A05">
        <w:rPr>
          <w:rFonts w:ascii="OPPOSans R" w:eastAsia="OPPOSans R" w:hAnsi="OPPOSans R" w:cstheme="minorHAnsi"/>
          <w:sz w:val="16"/>
          <w:szCs w:val="16"/>
        </w:rPr>
        <w:t>X&lt;85%, 5% penalty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85%</w:t>
      </w:r>
      <w:r w:rsidRPr="00760A05">
        <w:rPr>
          <w:rFonts w:ascii="宋体" w:eastAsia="宋体" w:hAnsi="宋体" w:cs="宋体" w:hint="eastAsia"/>
          <w:sz w:val="16"/>
          <w:szCs w:val="16"/>
        </w:rPr>
        <w:t>≤</w:t>
      </w:r>
      <w:r w:rsidRPr="00760A05">
        <w:rPr>
          <w:rFonts w:ascii="OPPOSans R" w:eastAsia="OPPOSans R" w:hAnsi="OPPOSans R" w:cstheme="minorHAnsi"/>
          <w:sz w:val="16"/>
          <w:szCs w:val="16"/>
        </w:rPr>
        <w:t>X&lt;90%, neither penalty nor prize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90%</w:t>
      </w:r>
      <w:r w:rsidRPr="00760A05">
        <w:rPr>
          <w:rFonts w:ascii="宋体" w:eastAsia="宋体" w:hAnsi="宋体" w:cs="宋体" w:hint="eastAsia"/>
          <w:sz w:val="16"/>
          <w:szCs w:val="16"/>
        </w:rPr>
        <w:t>≤</w:t>
      </w:r>
      <w:r w:rsidRPr="00760A05">
        <w:rPr>
          <w:rFonts w:ascii="OPPOSans R" w:eastAsia="OPPOSans R" w:hAnsi="OPPOSans R" w:cstheme="minorHAnsi"/>
          <w:sz w:val="16"/>
          <w:szCs w:val="16"/>
        </w:rPr>
        <w:t>X&lt;95%, 5% prize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X</w:t>
      </w:r>
      <w:r w:rsidRPr="00760A05">
        <w:rPr>
          <w:rFonts w:ascii="宋体" w:eastAsia="宋体" w:hAnsi="宋体" w:cs="宋体" w:hint="eastAsia"/>
          <w:sz w:val="16"/>
          <w:szCs w:val="16"/>
        </w:rPr>
        <w:t>≥</w:t>
      </w:r>
      <w:r w:rsidRPr="00760A05">
        <w:rPr>
          <w:rFonts w:ascii="OPPOSans R" w:eastAsia="OPPOSans R" w:hAnsi="OPPOSans R" w:cstheme="minorHAnsi"/>
          <w:sz w:val="16"/>
          <w:szCs w:val="16"/>
        </w:rPr>
        <w:t>95%, 10% prize</w:t>
      </w:r>
    </w:p>
    <w:p w:rsidR="005E24A4" w:rsidRPr="00760A05" w:rsidRDefault="005E24A4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  <w:r w:rsidRPr="00760A05">
        <w:rPr>
          <w:rFonts w:ascii="OPPOSans R" w:eastAsia="OPPOSans R" w:hAnsi="OPPOSans R" w:cstheme="minorHAnsi"/>
          <w:sz w:val="16"/>
          <w:szCs w:val="16"/>
        </w:rPr>
        <w:t>X=Assessment Score of the site</w:t>
      </w:r>
    </w:p>
    <w:p w:rsidR="000C12DA" w:rsidRPr="00760A05" w:rsidRDefault="000C12DA" w:rsidP="0020496B">
      <w:pPr>
        <w:pStyle w:val="a5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</w:p>
    <w:p w:rsidR="00315558" w:rsidRPr="00336FB4" w:rsidRDefault="00630C47" w:rsidP="0020496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9" w:name="_Toc12298449"/>
      <w:bookmarkStart w:id="10" w:name="_Toc12355531"/>
      <w:bookmarkStart w:id="11" w:name="_Toc12355621"/>
      <w:bookmarkStart w:id="12" w:name="_Toc13767849"/>
      <w:r w:rsidRPr="00336FB4">
        <w:rPr>
          <w:rFonts w:ascii="OPPOSans R" w:eastAsia="OPPOSans R" w:hAnsi="OPPOSans R" w:cstheme="minorHAnsi"/>
          <w:sz w:val="24"/>
          <w:szCs w:val="24"/>
        </w:rPr>
        <w:t>Attachments</w:t>
      </w:r>
      <w:bookmarkEnd w:id="9"/>
      <w:bookmarkEnd w:id="10"/>
      <w:bookmarkEnd w:id="11"/>
      <w:bookmarkEnd w:id="12"/>
    </w:p>
    <w:p w:rsidR="006C66B3" w:rsidRPr="00760A05" w:rsidRDefault="006C66B3" w:rsidP="0020496B">
      <w:pPr>
        <w:pStyle w:val="2"/>
        <w:numPr>
          <w:ilvl w:val="0"/>
          <w:numId w:val="30"/>
        </w:numPr>
        <w:spacing w:line="276" w:lineRule="auto"/>
        <w:ind w:firstLine="6"/>
        <w:rPr>
          <w:rFonts w:ascii="OPPOSans R" w:eastAsia="OPPOSans R" w:hAnsi="OPPOSans R" w:cstheme="minorHAnsi"/>
          <w:b w:val="0"/>
          <w:sz w:val="16"/>
          <w:szCs w:val="16"/>
        </w:rPr>
      </w:pPr>
      <w:bookmarkStart w:id="13" w:name="_2.6-1_OPPO_Phone"/>
      <w:bookmarkStart w:id="14" w:name="_2.13-1_Weekly_RV"/>
      <w:bookmarkEnd w:id="13"/>
      <w:bookmarkEnd w:id="14"/>
      <w:r w:rsidRPr="00760A05">
        <w:rPr>
          <w:rFonts w:ascii="OPPOSans R" w:eastAsia="OPPOSans R" w:hAnsi="OPPOSans R" w:cstheme="minorHAnsi"/>
          <w:b w:val="0"/>
          <w:sz w:val="16"/>
          <w:szCs w:val="16"/>
        </w:rPr>
        <w:t xml:space="preserve"> </w:t>
      </w:r>
      <w:bookmarkStart w:id="15" w:name="_Toc12298450"/>
      <w:bookmarkStart w:id="16" w:name="_Toc12355532"/>
      <w:bookmarkStart w:id="17" w:name="_Toc12355622"/>
      <w:r w:rsidR="0004596E" w:rsidRPr="00760A05">
        <w:rPr>
          <w:rFonts w:ascii="OPPOSans R" w:eastAsia="OPPOSans R" w:hAnsi="OPPOSans R" w:cstheme="minorHAnsi"/>
          <w:b w:val="0"/>
          <w:sz w:val="16"/>
          <w:szCs w:val="16"/>
        </w:rPr>
        <w:fldChar w:fldCharType="begin"/>
      </w:r>
      <w:r w:rsidR="0004596E" w:rsidRPr="00760A05">
        <w:rPr>
          <w:rFonts w:ascii="OPPOSans R" w:eastAsia="OPPOSans R" w:hAnsi="OPPOSans R" w:cstheme="minorHAnsi"/>
          <w:b w:val="0"/>
          <w:sz w:val="16"/>
          <w:szCs w:val="16"/>
        </w:rPr>
        <w:instrText xml:space="preserve"> HYPERLINK "4.1-1%20OPPO%20APAC&amp;SEA%20Regional%20Hub%20Assessment_Template.xlsx" </w:instrText>
      </w:r>
      <w:r w:rsidR="0004596E" w:rsidRPr="00760A05">
        <w:rPr>
          <w:rFonts w:ascii="OPPOSans R" w:eastAsia="OPPOSans R" w:hAnsi="OPPOSans R" w:cstheme="minorHAnsi"/>
          <w:b w:val="0"/>
          <w:sz w:val="16"/>
          <w:szCs w:val="16"/>
        </w:rPr>
        <w:fldChar w:fldCharType="separate"/>
      </w:r>
      <w:bookmarkStart w:id="18" w:name="_Toc13767850"/>
      <w:r w:rsidR="00DA564B" w:rsidRPr="00760A05">
        <w:rPr>
          <w:rStyle w:val="a6"/>
          <w:rFonts w:ascii="OPPOSans R" w:eastAsia="OPPOSans R" w:hAnsi="OPPOSans R" w:cstheme="minorHAnsi"/>
          <w:b w:val="0"/>
          <w:sz w:val="16"/>
          <w:szCs w:val="16"/>
        </w:rPr>
        <w:t>4.1</w:t>
      </w:r>
      <w:r w:rsidRPr="00760A05">
        <w:rPr>
          <w:rStyle w:val="a6"/>
          <w:rFonts w:ascii="OPPOSans R" w:eastAsia="OPPOSans R" w:hAnsi="OPPOSans R" w:cstheme="minorHAnsi"/>
          <w:b w:val="0"/>
          <w:sz w:val="16"/>
          <w:szCs w:val="16"/>
        </w:rPr>
        <w:t xml:space="preserve">-1 </w:t>
      </w:r>
      <w:bookmarkEnd w:id="15"/>
      <w:r w:rsidR="009938CD">
        <w:rPr>
          <w:rStyle w:val="a6"/>
          <w:rFonts w:ascii="OPPOSans R" w:eastAsia="OPPOSans R" w:hAnsi="OPPOSans R" w:cstheme="minorHAnsi"/>
          <w:b w:val="0"/>
          <w:sz w:val="16"/>
          <w:szCs w:val="16"/>
        </w:rPr>
        <w:t>OPPO</w:t>
      </w:r>
      <w:r w:rsidR="0053582A" w:rsidRPr="00760A05">
        <w:rPr>
          <w:rStyle w:val="a6"/>
          <w:rFonts w:ascii="OPPOSans R" w:eastAsia="OPPOSans R" w:hAnsi="OPPOSans R" w:cstheme="minorHAnsi"/>
          <w:b w:val="0"/>
          <w:sz w:val="16"/>
          <w:szCs w:val="16"/>
        </w:rPr>
        <w:t xml:space="preserve"> Regional Hub Assessment</w:t>
      </w:r>
      <w:r w:rsidR="00AD1A92" w:rsidRPr="00760A05">
        <w:rPr>
          <w:rStyle w:val="a6"/>
          <w:rFonts w:ascii="OPPOSans R" w:eastAsia="OPPOSans R" w:hAnsi="OPPOSans R" w:cstheme="minorHAnsi"/>
          <w:b w:val="0"/>
          <w:sz w:val="16"/>
          <w:szCs w:val="16"/>
        </w:rPr>
        <w:t>_Template</w:t>
      </w:r>
      <w:bookmarkEnd w:id="16"/>
      <w:bookmarkEnd w:id="17"/>
      <w:bookmarkEnd w:id="18"/>
      <w:r w:rsidR="0004596E" w:rsidRPr="00760A05">
        <w:rPr>
          <w:rFonts w:ascii="OPPOSans R" w:eastAsia="OPPOSans R" w:hAnsi="OPPOSans R" w:cstheme="minorHAnsi"/>
          <w:b w:val="0"/>
          <w:sz w:val="16"/>
          <w:szCs w:val="16"/>
        </w:rPr>
        <w:fldChar w:fldCharType="end"/>
      </w:r>
      <w:bookmarkStart w:id="19" w:name="_2.6-2_OPPO_Email"/>
      <w:bookmarkStart w:id="20" w:name="_2.13-2_RV_Report"/>
      <w:bookmarkStart w:id="21" w:name="_2.6-3_OPPO_Chat"/>
      <w:bookmarkEnd w:id="19"/>
      <w:bookmarkEnd w:id="20"/>
      <w:bookmarkEnd w:id="21"/>
    </w:p>
    <w:sectPr w:rsidR="006C66B3" w:rsidRPr="00760A0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38" w:rsidRDefault="004B6438" w:rsidP="00EF1A1A">
      <w:r>
        <w:separator/>
      </w:r>
    </w:p>
  </w:endnote>
  <w:endnote w:type="continuationSeparator" w:id="0">
    <w:p w:rsidR="004B6438" w:rsidRDefault="004B6438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38" w:rsidRDefault="004B6438" w:rsidP="00EF1A1A">
      <w:r>
        <w:separator/>
      </w:r>
    </w:p>
  </w:footnote>
  <w:footnote w:type="continuationSeparator" w:id="0">
    <w:p w:rsidR="004B6438" w:rsidRDefault="004B6438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A1A" w:rsidRPr="000B2040" w:rsidRDefault="00EF1A1A" w:rsidP="000B2040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0B2040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</w:t>
    </w:r>
    <w:r>
      <w:rPr>
        <w:rFonts w:hAnsi="Calibri" w:cs="Calibri"/>
        <w:b/>
        <w:sz w:val="36"/>
        <w:szCs w:val="36"/>
        <w:u w:val="single"/>
      </w:rPr>
      <w:t xml:space="preserve">         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</w:t>
    </w:r>
    <w:r w:rsidR="00560601"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>190</w:t>
    </w:r>
    <w:r w:rsidR="00366C62"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>711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         </w:t>
    </w:r>
    <w:r w:rsidRPr="000B204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C70D13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4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8177F2" w:rsidRPr="000B2040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0C12DA" w:rsidRPr="000B2040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5</w:t>
    </w:r>
  </w:p>
  <w:p w:rsidR="000B2040" w:rsidRDefault="00EF1A1A" w:rsidP="00265B90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265B90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265B9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265B9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0B204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0B204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265B90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265B9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265B9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0B204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366C62"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</w:t>
    </w:r>
    <w:r w:rsid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</w:t>
    </w:r>
    <w:r w:rsidR="00366C62"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E272B9">
      <w:rPr>
        <w:rFonts w:ascii="OPPOSans M" w:eastAsia="OPPOSans M" w:hAnsi="OPPOSans M" w:cstheme="minorHAnsi"/>
        <w:b/>
        <w:bCs/>
        <w:sz w:val="20"/>
        <w:szCs w:val="20"/>
        <w:u w:val="single"/>
      </w:rPr>
      <w:t>J</w:t>
    </w:r>
    <w:r w:rsidR="00E272B9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ul</w:t>
    </w:r>
    <w:r w:rsidR="00E272B9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366C62"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>11</w:t>
    </w:r>
    <w:proofErr w:type="gramStart"/>
    <w:r w:rsidR="00E272B9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>19</w:t>
    </w:r>
    <w:proofErr w:type="gramEnd"/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</w:t>
    </w:r>
    <w:r w:rsidRPr="000B204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</w:t>
    </w:r>
  </w:p>
  <w:p w:rsidR="00EF1A1A" w:rsidRPr="00EF1A1A" w:rsidRDefault="00E80662" w:rsidP="000B2040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cstheme="minorHAnsi"/>
        <w:sz w:val="21"/>
        <w:szCs w:val="21"/>
        <w:u w:val="single"/>
      </w:rPr>
    </w:pPr>
    <w:r w:rsidRPr="000B2040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EF1A1A" w:rsidRPr="000B2040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Pr="000B2040">
      <w:rPr>
        <w:rFonts w:ascii="OPPOSans M" w:eastAsia="OPPOSans M" w:hAnsi="OPPOSans M" w:cs="Calibri"/>
        <w:b/>
        <w:sz w:val="24"/>
        <w:szCs w:val="24"/>
        <w:u w:val="single"/>
      </w:rPr>
      <w:t xml:space="preserve">    </w:t>
    </w:r>
    <w:r w:rsidR="00366C62" w:rsidRPr="000B2040">
      <w:rPr>
        <w:rFonts w:ascii="OPPOSans M" w:eastAsia="OPPOSans M" w:hAnsi="OPPOSans M" w:cs="Calibri" w:hint="eastAsia"/>
        <w:b/>
        <w:sz w:val="24"/>
        <w:szCs w:val="24"/>
        <w:u w:val="single"/>
      </w:rPr>
      <w:t>Site</w:t>
    </w:r>
    <w:r w:rsidR="00366C62" w:rsidRPr="000B2040">
      <w:rPr>
        <w:rFonts w:ascii="OPPOSans M" w:eastAsia="OPPOSans M" w:hAnsi="OPPOSans M" w:cs="Calibri"/>
        <w:b/>
        <w:sz w:val="24"/>
        <w:szCs w:val="24"/>
        <w:u w:val="single"/>
      </w:rPr>
      <w:t xml:space="preserve"> Assessment Management</w:t>
    </w:r>
    <w:r w:rsidR="00EF1A1A" w:rsidRPr="000B2040">
      <w:rPr>
        <w:rFonts w:ascii="OPPOSans M" w:eastAsia="OPPOSans M" w:hAnsi="OPPOSans M" w:cs="Calibri"/>
        <w:b/>
        <w:sz w:val="24"/>
        <w:szCs w:val="24"/>
        <w:u w:val="single"/>
      </w:rPr>
      <w:t xml:space="preserve">  </w:t>
    </w:r>
    <w:r w:rsidR="00EF1A1A">
      <w:rPr>
        <w:rFonts w:hAnsi="Calibri" w:cs="Calibri"/>
        <w:b/>
        <w:sz w:val="28"/>
        <w:szCs w:val="28"/>
        <w:u w:val="single"/>
      </w:rPr>
      <w:t xml:space="preserve">                   </w:t>
    </w:r>
    <w:r w:rsidR="00EF1A1A" w:rsidRPr="00A172C1">
      <w:rPr>
        <w:rFonts w:hAnsi="Calibri" w:cs="Calibri"/>
        <w:b/>
        <w:sz w:val="28"/>
        <w:szCs w:val="28"/>
        <w:u w:val="single"/>
      </w:rPr>
      <w:t xml:space="preserve"> </w:t>
    </w:r>
    <w:r w:rsidR="00EF1A1A">
      <w:rPr>
        <w:rFonts w:hAnsi="Calibri" w:cs="Calibr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0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6627ED"/>
    <w:multiLevelType w:val="multilevel"/>
    <w:tmpl w:val="163EADA6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39A57DC"/>
    <w:multiLevelType w:val="hybridMultilevel"/>
    <w:tmpl w:val="0776B6BE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BBF5EBF"/>
    <w:multiLevelType w:val="hybridMultilevel"/>
    <w:tmpl w:val="FF3E96BC"/>
    <w:lvl w:ilvl="0" w:tplc="CD304906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E9156A"/>
    <w:multiLevelType w:val="hybridMultilevel"/>
    <w:tmpl w:val="71CAE32E"/>
    <w:lvl w:ilvl="0" w:tplc="14901C3C">
      <w:start w:val="1"/>
      <w:numFmt w:val="bullet"/>
      <w:lvlText w:val="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3"/>
  </w:num>
  <w:num w:numId="9">
    <w:abstractNumId w:val="27"/>
  </w:num>
  <w:num w:numId="10">
    <w:abstractNumId w:val="9"/>
  </w:num>
  <w:num w:numId="11">
    <w:abstractNumId w:val="26"/>
  </w:num>
  <w:num w:numId="12">
    <w:abstractNumId w:val="12"/>
  </w:num>
  <w:num w:numId="13">
    <w:abstractNumId w:val="29"/>
  </w:num>
  <w:num w:numId="14">
    <w:abstractNumId w:val="14"/>
  </w:num>
  <w:num w:numId="15">
    <w:abstractNumId w:val="20"/>
  </w:num>
  <w:num w:numId="16">
    <w:abstractNumId w:val="15"/>
  </w:num>
  <w:num w:numId="17">
    <w:abstractNumId w:val="28"/>
  </w:num>
  <w:num w:numId="18">
    <w:abstractNumId w:val="4"/>
  </w:num>
  <w:num w:numId="19">
    <w:abstractNumId w:val="0"/>
  </w:num>
  <w:num w:numId="20">
    <w:abstractNumId w:val="18"/>
  </w:num>
  <w:num w:numId="21">
    <w:abstractNumId w:val="10"/>
  </w:num>
  <w:num w:numId="22">
    <w:abstractNumId w:val="16"/>
  </w:num>
  <w:num w:numId="23">
    <w:abstractNumId w:val="25"/>
  </w:num>
  <w:num w:numId="24">
    <w:abstractNumId w:val="24"/>
  </w:num>
  <w:num w:numId="25">
    <w:abstractNumId w:val="7"/>
  </w:num>
  <w:num w:numId="26">
    <w:abstractNumId w:val="21"/>
  </w:num>
  <w:num w:numId="27">
    <w:abstractNumId w:val="6"/>
  </w:num>
  <w:num w:numId="28">
    <w:abstractNumId w:val="19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8F"/>
    <w:rsid w:val="00013AAA"/>
    <w:rsid w:val="00015D13"/>
    <w:rsid w:val="0004596E"/>
    <w:rsid w:val="000735B8"/>
    <w:rsid w:val="000867A1"/>
    <w:rsid w:val="00090E6B"/>
    <w:rsid w:val="000B2040"/>
    <w:rsid w:val="000C12DA"/>
    <w:rsid w:val="000C54DF"/>
    <w:rsid w:val="000D4BC6"/>
    <w:rsid w:val="000E24E2"/>
    <w:rsid w:val="000E66BF"/>
    <w:rsid w:val="0011448D"/>
    <w:rsid w:val="00123F9D"/>
    <w:rsid w:val="00176A32"/>
    <w:rsid w:val="00183351"/>
    <w:rsid w:val="00184315"/>
    <w:rsid w:val="001C2B59"/>
    <w:rsid w:val="001D7CF9"/>
    <w:rsid w:val="001F3606"/>
    <w:rsid w:val="001F4FE0"/>
    <w:rsid w:val="0020496B"/>
    <w:rsid w:val="00216C62"/>
    <w:rsid w:val="0024013B"/>
    <w:rsid w:val="0024133B"/>
    <w:rsid w:val="002425AA"/>
    <w:rsid w:val="00264ADA"/>
    <w:rsid w:val="00265B90"/>
    <w:rsid w:val="002E5911"/>
    <w:rsid w:val="00315558"/>
    <w:rsid w:val="00336FB4"/>
    <w:rsid w:val="00366C62"/>
    <w:rsid w:val="00373EDF"/>
    <w:rsid w:val="003F407B"/>
    <w:rsid w:val="003F4EDC"/>
    <w:rsid w:val="00434165"/>
    <w:rsid w:val="00436DB4"/>
    <w:rsid w:val="004420BB"/>
    <w:rsid w:val="00454B04"/>
    <w:rsid w:val="00456E13"/>
    <w:rsid w:val="00461A48"/>
    <w:rsid w:val="00471F3D"/>
    <w:rsid w:val="00473FA0"/>
    <w:rsid w:val="00490763"/>
    <w:rsid w:val="004B6438"/>
    <w:rsid w:val="004C3FB7"/>
    <w:rsid w:val="004D16B4"/>
    <w:rsid w:val="004D6459"/>
    <w:rsid w:val="005315EF"/>
    <w:rsid w:val="0053582A"/>
    <w:rsid w:val="00536D27"/>
    <w:rsid w:val="00547037"/>
    <w:rsid w:val="005554E7"/>
    <w:rsid w:val="00560601"/>
    <w:rsid w:val="00572C58"/>
    <w:rsid w:val="00595988"/>
    <w:rsid w:val="005D71FB"/>
    <w:rsid w:val="005E24A4"/>
    <w:rsid w:val="0061032E"/>
    <w:rsid w:val="00614852"/>
    <w:rsid w:val="00630C47"/>
    <w:rsid w:val="0063602C"/>
    <w:rsid w:val="006428CB"/>
    <w:rsid w:val="00642FB9"/>
    <w:rsid w:val="00644EC3"/>
    <w:rsid w:val="00686AEE"/>
    <w:rsid w:val="006921CE"/>
    <w:rsid w:val="006C259E"/>
    <w:rsid w:val="006C2B2B"/>
    <w:rsid w:val="006C66B3"/>
    <w:rsid w:val="006D4CFE"/>
    <w:rsid w:val="00760A05"/>
    <w:rsid w:val="00771845"/>
    <w:rsid w:val="0077447F"/>
    <w:rsid w:val="007C074D"/>
    <w:rsid w:val="007D6439"/>
    <w:rsid w:val="007E38B0"/>
    <w:rsid w:val="007E4561"/>
    <w:rsid w:val="007E4CA3"/>
    <w:rsid w:val="007F033B"/>
    <w:rsid w:val="0080398F"/>
    <w:rsid w:val="00813B8B"/>
    <w:rsid w:val="008177F2"/>
    <w:rsid w:val="00896FCB"/>
    <w:rsid w:val="008B2580"/>
    <w:rsid w:val="008D30FD"/>
    <w:rsid w:val="00912B20"/>
    <w:rsid w:val="009345BC"/>
    <w:rsid w:val="009362AA"/>
    <w:rsid w:val="009938CD"/>
    <w:rsid w:val="009D09E9"/>
    <w:rsid w:val="009E4211"/>
    <w:rsid w:val="00A20EF2"/>
    <w:rsid w:val="00A31240"/>
    <w:rsid w:val="00A42FA0"/>
    <w:rsid w:val="00A65456"/>
    <w:rsid w:val="00A8389F"/>
    <w:rsid w:val="00A96614"/>
    <w:rsid w:val="00AA00AC"/>
    <w:rsid w:val="00AA51ED"/>
    <w:rsid w:val="00AB0616"/>
    <w:rsid w:val="00AB0F98"/>
    <w:rsid w:val="00AD1A92"/>
    <w:rsid w:val="00AE35D7"/>
    <w:rsid w:val="00B0217A"/>
    <w:rsid w:val="00B029EF"/>
    <w:rsid w:val="00B22DA5"/>
    <w:rsid w:val="00B3043C"/>
    <w:rsid w:val="00B36EB5"/>
    <w:rsid w:val="00B92EA6"/>
    <w:rsid w:val="00B97E32"/>
    <w:rsid w:val="00BA51DB"/>
    <w:rsid w:val="00BB02AE"/>
    <w:rsid w:val="00BB5715"/>
    <w:rsid w:val="00BD2D9F"/>
    <w:rsid w:val="00BD579D"/>
    <w:rsid w:val="00BE0244"/>
    <w:rsid w:val="00C13700"/>
    <w:rsid w:val="00C170A8"/>
    <w:rsid w:val="00C218D7"/>
    <w:rsid w:val="00C70D13"/>
    <w:rsid w:val="00C87105"/>
    <w:rsid w:val="00D07E2B"/>
    <w:rsid w:val="00D232E1"/>
    <w:rsid w:val="00D367D0"/>
    <w:rsid w:val="00DA564B"/>
    <w:rsid w:val="00DA7AB9"/>
    <w:rsid w:val="00DC3779"/>
    <w:rsid w:val="00DC3DBF"/>
    <w:rsid w:val="00DC5A13"/>
    <w:rsid w:val="00DD59D3"/>
    <w:rsid w:val="00DE6591"/>
    <w:rsid w:val="00E250BD"/>
    <w:rsid w:val="00E272B9"/>
    <w:rsid w:val="00E30BB8"/>
    <w:rsid w:val="00E638BB"/>
    <w:rsid w:val="00E654FB"/>
    <w:rsid w:val="00E80662"/>
    <w:rsid w:val="00E90D5E"/>
    <w:rsid w:val="00EA1365"/>
    <w:rsid w:val="00EA7367"/>
    <w:rsid w:val="00EB79CD"/>
    <w:rsid w:val="00ED1458"/>
    <w:rsid w:val="00EE1B2C"/>
    <w:rsid w:val="00EE50CA"/>
    <w:rsid w:val="00EF1A1A"/>
    <w:rsid w:val="00EF3EF2"/>
    <w:rsid w:val="00EF6A12"/>
    <w:rsid w:val="00F0435A"/>
    <w:rsid w:val="00F327AE"/>
    <w:rsid w:val="00F378EE"/>
    <w:rsid w:val="00F4308B"/>
    <w:rsid w:val="00F57A29"/>
    <w:rsid w:val="00F71A34"/>
    <w:rsid w:val="00F75928"/>
    <w:rsid w:val="00F8792C"/>
    <w:rsid w:val="00F92473"/>
    <w:rsid w:val="00F9721C"/>
    <w:rsid w:val="00FB197B"/>
    <w:rsid w:val="00FC0444"/>
    <w:rsid w:val="00FC23AA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1A"/>
    <w:rPr>
      <w:sz w:val="18"/>
      <w:szCs w:val="18"/>
    </w:rPr>
  </w:style>
  <w:style w:type="paragraph" w:styleId="a5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20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D215-2D42-4E60-BB34-975422FB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80095232</cp:lastModifiedBy>
  <cp:revision>146</cp:revision>
  <dcterms:created xsi:type="dcterms:W3CDTF">2019-06-18T00:17:00Z</dcterms:created>
  <dcterms:modified xsi:type="dcterms:W3CDTF">2020-04-16T07:08:00Z</dcterms:modified>
</cp:coreProperties>
</file>